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both"/>
        <w:rPr>
          <w:b/>
          <w:bCs/>
          <w:sz w:val="36"/>
          <w:szCs w:val="36"/>
        </w:rPr>
      </w:pPr>
      <w:r>
        <w:rPr>
          <w:rFonts w:hint="eastAsia"/>
          <w:b/>
          <w:bCs/>
          <w:sz w:val="36"/>
          <w:szCs w:val="36"/>
          <w:lang w:val="en-US" w:eastAsia="zh-CN"/>
        </w:rPr>
        <w:t xml:space="preserve"> </w:t>
      </w:r>
      <w:r>
        <w:rPr>
          <w:rFonts w:hint="eastAsia"/>
          <w:b/>
          <w:bCs/>
          <w:sz w:val="40"/>
          <w:szCs w:val="40"/>
          <w:lang w:eastAsia="zh-CN"/>
        </w:rPr>
        <w:t>延大西院学生社团联合会报名表</w:t>
      </w: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86"/>
        <w:gridCol w:w="1186"/>
        <w:gridCol w:w="1186"/>
        <w:gridCol w:w="1186"/>
        <w:gridCol w:w="1186"/>
        <w:gridCol w:w="1186"/>
        <w:gridCol w:w="11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rFonts w:hint="eastAsia"/>
                <w:sz w:val="24"/>
                <w:szCs w:val="24"/>
                <w:lang w:eastAsia="zh-CN"/>
              </w:rPr>
              <w:t>姓名</w:t>
            </w: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rFonts w:hint="eastAsia"/>
                <w:sz w:val="24"/>
                <w:szCs w:val="24"/>
                <w:lang w:eastAsia="zh-CN"/>
              </w:rPr>
              <w:t>性别</w:t>
            </w: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rFonts w:hint="eastAsia"/>
                <w:sz w:val="24"/>
                <w:szCs w:val="24"/>
                <w:lang w:eastAsia="zh-CN"/>
              </w:rPr>
              <w:t>出生日期</w:t>
            </w: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c>
          <w:tcPr>
            <w:tcW w:w="1186" w:type="dxa"/>
            <w:vMerge w:val="restart"/>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rFonts w:hint="eastAsia"/>
                <w:sz w:val="24"/>
                <w:szCs w:val="24"/>
                <w:lang w:eastAsia="zh-CN"/>
              </w:rPr>
              <w:t>（一寸近期彩色免冠照）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rFonts w:hint="eastAsia"/>
                <w:sz w:val="24"/>
                <w:szCs w:val="24"/>
                <w:lang w:eastAsia="zh-CN"/>
              </w:rPr>
              <w:t>籍贯</w:t>
            </w: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rFonts w:hint="eastAsia"/>
                <w:sz w:val="24"/>
                <w:szCs w:val="24"/>
                <w:lang w:eastAsia="zh-CN"/>
              </w:rPr>
              <w:t>民族</w:t>
            </w: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rFonts w:hint="eastAsia"/>
                <w:sz w:val="24"/>
                <w:szCs w:val="24"/>
                <w:lang w:eastAsia="zh-CN"/>
              </w:rPr>
              <w:t>政治面貌</w:t>
            </w: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c>
          <w:tcPr>
            <w:tcW w:w="1186" w:type="dxa"/>
            <w:vMerge w:val="continue"/>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rFonts w:hint="eastAsia"/>
                <w:sz w:val="24"/>
                <w:szCs w:val="24"/>
                <w:lang w:eastAsia="zh-CN"/>
              </w:rPr>
              <w:t>专业班级</w:t>
            </w: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rFonts w:hint="eastAsia"/>
                <w:sz w:val="24"/>
                <w:szCs w:val="24"/>
                <w:lang w:eastAsia="zh-CN"/>
              </w:rPr>
              <w:t>宿舍</w:t>
            </w: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rFonts w:hint="eastAsia"/>
                <w:sz w:val="24"/>
                <w:szCs w:val="24"/>
                <w:lang w:eastAsia="zh-CN"/>
              </w:rPr>
              <w:t>电话</w:t>
            </w: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c>
          <w:tcPr>
            <w:tcW w:w="1186" w:type="dxa"/>
            <w:vMerge w:val="continue"/>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sz w:val="24"/>
                <w:szCs w:val="24"/>
                <w:lang w:val="en-US"/>
              </w:rPr>
              <w:t>QQ</w:t>
            </w:r>
            <w:r>
              <w:rPr>
                <w:rFonts w:hint="eastAsia"/>
                <w:sz w:val="24"/>
                <w:szCs w:val="24"/>
                <w:lang w:val="en-US" w:eastAsia="zh-CN"/>
              </w:rPr>
              <w:t>号</w:t>
            </w: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rFonts w:hint="eastAsia"/>
                <w:sz w:val="24"/>
                <w:szCs w:val="24"/>
                <w:lang w:eastAsia="zh-CN"/>
              </w:rPr>
              <w:t>微信</w:t>
            </w: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rFonts w:hint="eastAsia"/>
                <w:sz w:val="24"/>
                <w:szCs w:val="24"/>
                <w:lang w:eastAsia="zh-CN"/>
              </w:rPr>
              <w:t>微博</w:t>
            </w:r>
          </w:p>
        </w:tc>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c>
          <w:tcPr>
            <w:tcW w:w="1186" w:type="dxa"/>
            <w:vMerge w:val="continue"/>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trPr>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rFonts w:hint="eastAsia"/>
                <w:sz w:val="24"/>
                <w:szCs w:val="24"/>
                <w:lang w:eastAsia="zh-CN"/>
              </w:rPr>
              <w:t>意向部门</w:t>
            </w:r>
          </w:p>
        </w:tc>
        <w:tc>
          <w:tcPr>
            <w:tcW w:w="2372" w:type="dxa"/>
            <w:gridSpan w:val="2"/>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c>
          <w:tcPr>
            <w:tcW w:w="2372" w:type="dxa"/>
            <w:gridSpan w:val="2"/>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rFonts w:hint="eastAsia"/>
                <w:sz w:val="24"/>
                <w:szCs w:val="24"/>
                <w:lang w:eastAsia="zh-CN"/>
              </w:rPr>
              <w:t>是否服从调剂</w:t>
            </w:r>
          </w:p>
        </w:tc>
        <w:tc>
          <w:tcPr>
            <w:tcW w:w="2372" w:type="dxa"/>
            <w:gridSpan w:val="2"/>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2" w:hRule="atLeast"/>
        </w:trPr>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rFonts w:hint="eastAsia"/>
                <w:sz w:val="24"/>
                <w:szCs w:val="24"/>
                <w:lang w:eastAsia="zh-CN"/>
              </w:rPr>
            </w:pPr>
          </w:p>
          <w:p>
            <w:pPr>
              <w:spacing w:line="420" w:lineRule="auto"/>
              <w:jc w:val="center"/>
              <w:rPr>
                <w:sz w:val="24"/>
                <w:szCs w:val="24"/>
              </w:rPr>
            </w:pPr>
            <w:r>
              <w:rPr>
                <w:rFonts w:hint="eastAsia"/>
                <w:sz w:val="24"/>
                <w:szCs w:val="24"/>
                <w:lang w:eastAsia="zh-CN"/>
              </w:rPr>
              <w:t>个人简介</w:t>
            </w:r>
          </w:p>
        </w:tc>
        <w:tc>
          <w:tcPr>
            <w:tcW w:w="7116" w:type="dxa"/>
            <w:gridSpan w:val="6"/>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9" w:hRule="atLeast"/>
        </w:trPr>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rFonts w:hint="eastAsia"/>
                <w:sz w:val="24"/>
                <w:szCs w:val="24"/>
                <w:lang w:eastAsia="zh-CN"/>
              </w:rPr>
            </w:pPr>
            <w:r>
              <w:rPr>
                <w:rFonts w:hint="eastAsia"/>
                <w:sz w:val="24"/>
                <w:szCs w:val="24"/>
                <w:lang w:eastAsia="zh-CN"/>
              </w:rPr>
              <w:t>工作经验</w:t>
            </w:r>
          </w:p>
          <w:p>
            <w:pPr>
              <w:spacing w:line="420" w:lineRule="auto"/>
              <w:jc w:val="center"/>
              <w:rPr>
                <w:sz w:val="24"/>
                <w:szCs w:val="24"/>
              </w:rPr>
            </w:pPr>
            <w:r>
              <w:rPr>
                <w:rFonts w:hint="eastAsia"/>
                <w:sz w:val="24"/>
                <w:szCs w:val="24"/>
                <w:lang w:eastAsia="zh-CN"/>
              </w:rPr>
              <w:t>曾获奖项</w:t>
            </w:r>
          </w:p>
        </w:tc>
        <w:tc>
          <w:tcPr>
            <w:tcW w:w="7116" w:type="dxa"/>
            <w:gridSpan w:val="6"/>
            <w:tcBorders>
              <w:top w:val="single" w:color="auto" w:sz="4" w:space="0"/>
              <w:left w:val="single" w:color="auto" w:sz="4" w:space="0"/>
              <w:bottom w:val="single" w:color="auto" w:sz="4" w:space="0"/>
              <w:right w:val="single" w:color="auto" w:sz="4" w:space="0"/>
            </w:tcBorders>
          </w:tcPr>
          <w:p>
            <w:pPr>
              <w:spacing w:line="420" w:lineRule="auto"/>
              <w:jc w:val="center"/>
              <w:rPr>
                <w:rFonts w:hint="eastAsia" w:eastAsia="宋体"/>
                <w:sz w:val="24"/>
                <w:szCs w:val="24"/>
                <w:lang w:eastAsia="zh-CN"/>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10" w:hRule="atLeast"/>
        </w:trPr>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rFonts w:hint="eastAsia"/>
                <w:sz w:val="24"/>
                <w:szCs w:val="24"/>
                <w:lang w:eastAsia="zh-CN"/>
              </w:rPr>
              <w:t>技能特长</w:t>
            </w:r>
          </w:p>
        </w:tc>
        <w:tc>
          <w:tcPr>
            <w:tcW w:w="7116" w:type="dxa"/>
            <w:gridSpan w:val="6"/>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5" w:hRule="atLeast"/>
        </w:trPr>
        <w:tc>
          <w:tcPr>
            <w:tcW w:w="1186" w:type="dxa"/>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r>
              <w:rPr>
                <w:rFonts w:hint="eastAsia"/>
                <w:sz w:val="24"/>
                <w:szCs w:val="24"/>
                <w:lang w:eastAsia="zh-CN"/>
              </w:rPr>
              <w:t>备注</w:t>
            </w:r>
          </w:p>
        </w:tc>
        <w:tc>
          <w:tcPr>
            <w:tcW w:w="7116" w:type="dxa"/>
            <w:gridSpan w:val="6"/>
            <w:tcBorders>
              <w:top w:val="single" w:color="auto" w:sz="4" w:space="0"/>
              <w:left w:val="single" w:color="auto" w:sz="4" w:space="0"/>
              <w:bottom w:val="single" w:color="auto" w:sz="4" w:space="0"/>
              <w:right w:val="single" w:color="auto" w:sz="4" w:space="0"/>
            </w:tcBorders>
          </w:tcPr>
          <w:p>
            <w:pPr>
              <w:spacing w:line="420" w:lineRule="auto"/>
              <w:jc w:val="center"/>
              <w:rPr>
                <w:sz w:val="24"/>
                <w:szCs w:val="24"/>
              </w:rPr>
            </w:pPr>
          </w:p>
        </w:tc>
      </w:tr>
    </w:tbl>
    <w:p>
      <w:pPr>
        <w:spacing w:line="360" w:lineRule="auto"/>
        <w:jc w:val="center"/>
        <w:rPr>
          <w:b/>
          <w:bCs/>
          <w:sz w:val="32"/>
          <w:szCs w:val="32"/>
        </w:rPr>
      </w:pPr>
      <w:r>
        <w:rPr>
          <w:rFonts w:hint="eastAsia"/>
          <w:b/>
          <w:bCs/>
          <w:sz w:val="32"/>
          <w:szCs w:val="32"/>
          <w:lang w:eastAsia="zh-CN"/>
        </w:rPr>
        <w:t>学生社团联合会介绍</w:t>
      </w:r>
    </w:p>
    <w:p>
      <w:pPr>
        <w:spacing w:line="360" w:lineRule="auto"/>
        <w:rPr>
          <w:sz w:val="24"/>
          <w:szCs w:val="24"/>
        </w:rPr>
      </w:pPr>
      <w:r>
        <w:rPr>
          <w:sz w:val="24"/>
          <w:szCs w:val="24"/>
        </w:rPr>
        <w:t>延安大学西安创新学院学生社团联合会成立于2007年，简称‘社联’，归校团委直属领导，是学生社团的直接管理部门，也是服务于各社团的学生机构。社联以“丰富校园文化、服务社团发展、引领社团文化”为宗旨，以主席团为核心，以优秀的管理理念，聚集强大的学生管理团队，指导学生社团的工作和活动，定期组织召开社团工作讨论会，为社团的发展提出建设性意见，并帮助指导各社团的内部建设和可持续发展。</w:t>
      </w:r>
    </w:p>
    <w:p>
      <w:pPr>
        <w:spacing w:line="360" w:lineRule="auto"/>
        <w:rPr>
          <w:sz w:val="24"/>
          <w:szCs w:val="24"/>
        </w:rPr>
      </w:pPr>
      <w:r>
        <w:rPr>
          <w:sz w:val="24"/>
          <w:szCs w:val="24"/>
        </w:rPr>
        <w:t>下设部门及职能简介：</w:t>
      </w:r>
    </w:p>
    <w:p>
      <w:pPr>
        <w:spacing w:line="360" w:lineRule="auto"/>
        <w:rPr>
          <w:sz w:val="24"/>
          <w:szCs w:val="24"/>
        </w:rPr>
      </w:pPr>
      <w:r>
        <w:rPr>
          <w:sz w:val="24"/>
          <w:szCs w:val="24"/>
        </w:rPr>
        <w:t>秘书处：秘书处是社联基础职能部门之一，是社联整体工作顺利运转的保障。秘书处是综合性管理部门，担负着承上启下、沟通情况、内外联系、综合协调的职责。其负责社团社联档案管理及财务监督、值班、会议记录、签到，协助主席团处理好其他工做及秘书处的日常工作等。</w:t>
      </w:r>
    </w:p>
    <w:p>
      <w:pPr>
        <w:spacing w:line="360" w:lineRule="auto"/>
        <w:rPr>
          <w:sz w:val="24"/>
          <w:szCs w:val="24"/>
        </w:rPr>
      </w:pPr>
      <w:r>
        <w:rPr>
          <w:sz w:val="24"/>
          <w:szCs w:val="24"/>
        </w:rPr>
        <w:t>公关部：主要负责社联及各社团的网络媒体宣传工作，同时监督各社团的微博、微信等网络宣传工作</w:t>
      </w:r>
      <w:r>
        <w:rPr>
          <w:rFonts w:hint="eastAsia"/>
          <w:sz w:val="24"/>
          <w:szCs w:val="24"/>
          <w:lang w:eastAsia="zh-CN"/>
        </w:rPr>
        <w:t>和</w:t>
      </w:r>
      <w:r>
        <w:rPr>
          <w:sz w:val="24"/>
          <w:szCs w:val="24"/>
        </w:rPr>
        <w:t>负责我校学生社团联合会团省委和我院官方微博、微信的交流与互动。社团举办活动的通讯稿及活动总结需上交至新闻中心。负责社联活动的宣传与展示工作，负责海报的制作与维护。</w:t>
      </w:r>
      <w:r>
        <w:rPr>
          <w:rFonts w:hint="eastAsia"/>
          <w:sz w:val="24"/>
          <w:szCs w:val="24"/>
          <w:lang w:eastAsia="zh-CN"/>
        </w:rPr>
        <w:t>以及</w:t>
      </w:r>
      <w:r>
        <w:rPr>
          <w:sz w:val="24"/>
          <w:szCs w:val="24"/>
        </w:rPr>
        <w:t>社联的对外联络工作，提供各方面的信息，使社联的工作能及时与其他各高校及社会进行交流沟通。根据需要为社联组织的大型活动对外联系经费，同时扩大学校在全校以及社会上的影响。</w:t>
      </w:r>
    </w:p>
    <w:p>
      <w:pPr>
        <w:spacing w:line="360" w:lineRule="auto"/>
        <w:rPr>
          <w:sz w:val="24"/>
          <w:szCs w:val="24"/>
        </w:rPr>
      </w:pPr>
      <w:r>
        <w:rPr>
          <w:sz w:val="24"/>
          <w:szCs w:val="24"/>
        </w:rPr>
        <w:t>组织部：主要工作是协助主席团制定学生社团联合会和各学生社团任职学生干部的选拔和培养计划，并起草社联活动的策划书。社团举办活动时，需要向社联组织部递交活动策划书，组织部对其进行审核，审通过后递交社联主席团。</w:t>
      </w:r>
    </w:p>
    <w:p>
      <w:pPr>
        <w:spacing w:line="360" w:lineRule="auto"/>
        <w:rPr>
          <w:sz w:val="24"/>
          <w:szCs w:val="24"/>
        </w:rPr>
      </w:pPr>
      <w:r>
        <w:rPr>
          <w:sz w:val="24"/>
          <w:szCs w:val="24"/>
        </w:rPr>
        <w:t>社团事务管理</w:t>
      </w:r>
      <w:r>
        <w:rPr>
          <w:rFonts w:hint="eastAsia"/>
          <w:sz w:val="24"/>
          <w:szCs w:val="24"/>
          <w:lang w:eastAsia="zh-CN"/>
        </w:rPr>
        <w:t>中心</w:t>
      </w:r>
      <w:r>
        <w:rPr>
          <w:sz w:val="24"/>
          <w:szCs w:val="24"/>
        </w:rPr>
        <w:t>：主要工作是在校大学生想申请新的大学生社团，需向社联社团事务管理部递交申请书，社团事务管理部对其进行审核，审核通过后递交社联主席团，主席团审核通过后同意其成立社团。并对在册的社团进行考核，对不合格社团进行注销。</w:t>
      </w:r>
    </w:p>
    <w:p>
      <w:pPr>
        <w:spacing w:line="360" w:lineRule="auto"/>
        <w:rPr>
          <w:sz w:val="24"/>
          <w:szCs w:val="24"/>
        </w:rPr>
      </w:pPr>
      <w:r>
        <w:rPr>
          <w:sz w:val="24"/>
          <w:szCs w:val="24"/>
        </w:rPr>
        <w:t>资产管理</w:t>
      </w:r>
      <w:r>
        <w:rPr>
          <w:rFonts w:hint="eastAsia"/>
          <w:sz w:val="24"/>
          <w:szCs w:val="24"/>
          <w:lang w:eastAsia="zh-CN"/>
        </w:rPr>
        <w:t>中心</w:t>
      </w:r>
      <w:r>
        <w:rPr>
          <w:sz w:val="24"/>
          <w:szCs w:val="24"/>
        </w:rPr>
        <w:t>：主要负责社团联合会及学生社团相关固定物资设施的购置、记录、核算、监督、管理。安排各项活动的硬件设施及场地的使用安排和监督并负责社团联合会的活动室使用及日常管理监察。</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74310"/>
          <wp:effectExtent l="0" t="0" r="8890" b="8890"/>
          <wp:wrapNone/>
          <wp:docPr id="2" name="WordPictureWatermark3274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2741" descr="图片1"/>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83F5853"/>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3">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
    <w:name w:val="Medium Grid 3"/>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7">
    <w:name w:val="Medium Grid 3 Accent 1"/>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8">
    <w:name w:val="Medium Grid 3 Accent 2"/>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9">
    <w:name w:val="Medium Grid 3 Accent 3"/>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0">
    <w:name w:val="Medium Grid 3 Accent 4"/>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1">
    <w:name w:val="Medium Grid 3 Accent 5"/>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2">
    <w:name w:val="Medium Grid 3 Accent 6"/>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925</Words>
  <Characters>929</Characters>
  <Paragraphs>60</Paragraphs>
  <TotalTime>0</TotalTime>
  <ScaleCrop>false</ScaleCrop>
  <LinksUpToDate>false</LinksUpToDate>
  <CharactersWithSpaces>930</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2021-09-02T06:09:00Z</dcterms:created>
  <dc:creator>BMH-AN10</dc:creator>
  <cp:lastModifiedBy>七桦.</cp:lastModifiedBy>
  <dcterms:modified xsi:type="dcterms:W3CDTF">2022-03-26T10:40:05Z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f52f6b771cf04607a692301e43cff1e0</vt:lpwstr>
  </property>
  <property fmtid="{D5CDD505-2E9C-101B-9397-08002B2CF9AE}" pid="3" name="KSOProductBuildVer">
    <vt:lpwstr>2052-11.1.0.11365</vt:lpwstr>
  </property>
</Properties>
</file>